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92" w:type="dxa"/>
        <w:jc w:val="center"/>
        <w:tblInd w:w="-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09"/>
        <w:gridCol w:w="3770"/>
        <w:gridCol w:w="1485"/>
        <w:gridCol w:w="2622"/>
        <w:gridCol w:w="1906"/>
      </w:tblGrid>
      <w:tr w:rsidR="001E0D0A" w:rsidRPr="00E77CFE" w:rsidTr="00180EEA">
        <w:trPr>
          <w:trHeight w:val="675"/>
          <w:jc w:val="center"/>
        </w:trPr>
        <w:tc>
          <w:tcPr>
            <w:tcW w:w="409" w:type="dxa"/>
            <w:shd w:val="clear" w:color="auto" w:fill="auto"/>
            <w:noWrap/>
            <w:vAlign w:val="center"/>
          </w:tcPr>
          <w:p w:rsidR="00EE08CE" w:rsidRPr="00993862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lang w:eastAsia="sk-SK"/>
              </w:rPr>
              <w:t>No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EE08CE" w:rsidRPr="00EE08CE" w:rsidRDefault="00EE08CE" w:rsidP="00EE0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</w:pPr>
            <w:r w:rsidRPr="00EE08CE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>ACTIONS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EE08CE" w:rsidRPr="00993862" w:rsidRDefault="00A12FC1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0"/>
                <w:lang w:eastAsia="sk-SK"/>
              </w:rPr>
              <w:t xml:space="preserve">PACs </w:t>
            </w:r>
            <w:r w:rsidR="00925530" w:rsidRPr="0099386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0"/>
                <w:lang w:eastAsia="sk-SK"/>
              </w:rPr>
              <w:t>r</w:t>
            </w:r>
            <w:r w:rsidR="00EE08CE" w:rsidRPr="0099386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0"/>
                <w:lang w:eastAsia="sk-SK"/>
              </w:rPr>
              <w:t>esponsibility</w:t>
            </w:r>
          </w:p>
          <w:p w:rsidR="00EE08CE" w:rsidRPr="00993862" w:rsidRDefault="00A12FC1" w:rsidP="00925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0"/>
                <w:lang w:eastAsia="sk-SK"/>
              </w:rPr>
              <w:t>for actions</w:t>
            </w:r>
          </w:p>
          <w:p w:rsidR="00EE08CE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:rsidR="006C42BF" w:rsidRPr="00993862" w:rsidRDefault="00A12FC1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0"/>
                <w:lang w:eastAsia="sk-SK"/>
              </w:rPr>
              <w:t>Action Lead</w:t>
            </w:r>
            <w:r w:rsidR="00D96AC2" w:rsidRPr="0099386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0"/>
                <w:lang w:eastAsia="sk-SK"/>
              </w:rPr>
              <w:t>er</w:t>
            </w:r>
          </w:p>
          <w:p w:rsidR="00EE08CE" w:rsidRPr="00F467B2" w:rsidRDefault="006C42BF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highlight w:val="yellow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0"/>
                <w:lang w:eastAsia="sk-SK"/>
              </w:rPr>
              <w:t xml:space="preserve"> for action implementation</w:t>
            </w:r>
          </w:p>
        </w:tc>
        <w:tc>
          <w:tcPr>
            <w:tcW w:w="1906" w:type="dxa"/>
            <w:shd w:val="clear" w:color="auto" w:fill="CCCCCC"/>
          </w:tcPr>
          <w:p w:rsidR="002916FD" w:rsidRPr="00993862" w:rsidRDefault="002916FD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0"/>
                <w:lang w:eastAsia="sk-SK"/>
              </w:rPr>
              <w:t>Action Partners</w:t>
            </w:r>
          </w:p>
          <w:p w:rsidR="002916FD" w:rsidRPr="00993862" w:rsidRDefault="002916FD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0"/>
                <w:lang w:eastAsia="sk-SK"/>
              </w:rPr>
              <w:t>contributing</w:t>
            </w:r>
          </w:p>
          <w:p w:rsidR="00EE08CE" w:rsidRPr="00993862" w:rsidRDefault="00F467B2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0"/>
                <w:lang w:eastAsia="sk-SK"/>
              </w:rPr>
              <w:t xml:space="preserve"> in implementation</w:t>
            </w:r>
          </w:p>
          <w:p w:rsidR="00F467B2" w:rsidRDefault="002916FD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0"/>
                <w:lang w:eastAsia="sk-SK"/>
              </w:rPr>
              <w:t xml:space="preserve">(may vary </w:t>
            </w:r>
            <w:r w:rsidR="00D96AC2" w:rsidRPr="0099386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0"/>
                <w:lang w:eastAsia="sk-SK"/>
              </w:rPr>
              <w:t>in processing time)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k-SK"/>
              </w:rPr>
              <w:t xml:space="preserve"> </w:t>
            </w:r>
          </w:p>
        </w:tc>
      </w:tr>
      <w:tr w:rsidR="001E0D0A" w:rsidRPr="00E77CFE" w:rsidTr="00180EEA">
        <w:trPr>
          <w:trHeight w:val="675"/>
          <w:jc w:val="center"/>
        </w:trPr>
        <w:tc>
          <w:tcPr>
            <w:tcW w:w="409" w:type="dxa"/>
            <w:shd w:val="clear" w:color="auto" w:fill="auto"/>
            <w:noWrap/>
            <w:vAlign w:val="center"/>
          </w:tcPr>
          <w:p w:rsidR="00EE08CE" w:rsidRPr="00E77CFE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k-SK"/>
              </w:rPr>
            </w:pPr>
            <w:r w:rsidRPr="00E7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k-SK"/>
              </w:rPr>
              <w:t>1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EE08CE" w:rsidRPr="00FB2869" w:rsidRDefault="00EE08CE" w:rsidP="005159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sk-SK"/>
              </w:rPr>
            </w:pPr>
            <w:r w:rsidRPr="00FB2869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>To implement fully the Danube River Basin Management Plan”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EE08CE" w:rsidRPr="00993862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SK/HU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E08CE" w:rsidRPr="00993862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ICPDR</w:t>
            </w:r>
            <w:r w:rsidR="004104E3"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 xml:space="preserve"> Secretariat</w:t>
            </w:r>
          </w:p>
        </w:tc>
        <w:tc>
          <w:tcPr>
            <w:tcW w:w="1906" w:type="dxa"/>
            <w:shd w:val="clear" w:color="auto" w:fill="CCCCCC"/>
          </w:tcPr>
          <w:p w:rsidR="004104E3" w:rsidRPr="00993862" w:rsidRDefault="004104E3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</w:p>
          <w:p w:rsidR="00EE08CE" w:rsidRPr="00993862" w:rsidRDefault="004104E3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 xml:space="preserve">All Danube region </w:t>
            </w:r>
          </w:p>
          <w:p w:rsidR="004104E3" w:rsidRPr="00993862" w:rsidRDefault="004104E3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countries</w:t>
            </w:r>
          </w:p>
        </w:tc>
      </w:tr>
      <w:tr w:rsidR="001E0D0A" w:rsidRPr="00E77CFE" w:rsidTr="00180EEA">
        <w:trPr>
          <w:trHeight w:val="434"/>
          <w:jc w:val="center"/>
        </w:trPr>
        <w:tc>
          <w:tcPr>
            <w:tcW w:w="409" w:type="dxa"/>
            <w:shd w:val="clear" w:color="auto" w:fill="auto"/>
            <w:noWrap/>
            <w:vAlign w:val="center"/>
          </w:tcPr>
          <w:p w:rsidR="00EE08CE" w:rsidRPr="00E77CFE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k-SK"/>
              </w:rPr>
            </w:pPr>
            <w:r w:rsidRPr="00E7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k-SK"/>
              </w:rPr>
              <w:t>2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EE08CE" w:rsidRPr="00FB2869" w:rsidRDefault="00EE08CE" w:rsidP="005159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sk-SK"/>
              </w:rPr>
            </w:pPr>
            <w:r w:rsidRPr="00FB2869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>To greatly strengthen cooperation at sub-basin level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EE08CE" w:rsidRPr="00993862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HU/SK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E08CE" w:rsidRPr="00993862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ICPDR</w:t>
            </w:r>
            <w:r w:rsidR="004104E3"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 xml:space="preserve"> Secretariat</w:t>
            </w:r>
          </w:p>
        </w:tc>
        <w:tc>
          <w:tcPr>
            <w:tcW w:w="1906" w:type="dxa"/>
            <w:shd w:val="clear" w:color="auto" w:fill="CCCCCC"/>
          </w:tcPr>
          <w:p w:rsidR="00955919" w:rsidRPr="00993862" w:rsidRDefault="00955919" w:rsidP="0095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 xml:space="preserve">All Danube region </w:t>
            </w:r>
          </w:p>
          <w:p w:rsidR="00EE08CE" w:rsidRPr="00993862" w:rsidRDefault="00955919" w:rsidP="0095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countries</w:t>
            </w:r>
          </w:p>
          <w:p w:rsidR="00955919" w:rsidRPr="00993862" w:rsidRDefault="00955919" w:rsidP="0095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Sava Commission</w:t>
            </w:r>
          </w:p>
          <w:p w:rsidR="00955919" w:rsidRPr="00993862" w:rsidRDefault="00955919" w:rsidP="0095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Tisza Group</w:t>
            </w:r>
          </w:p>
        </w:tc>
      </w:tr>
      <w:tr w:rsidR="001E0D0A" w:rsidRPr="00E77CFE" w:rsidTr="00180EEA">
        <w:trPr>
          <w:trHeight w:val="675"/>
          <w:jc w:val="center"/>
        </w:trPr>
        <w:tc>
          <w:tcPr>
            <w:tcW w:w="409" w:type="dxa"/>
            <w:shd w:val="clear" w:color="auto" w:fill="auto"/>
            <w:noWrap/>
            <w:vAlign w:val="center"/>
          </w:tcPr>
          <w:p w:rsidR="00EE08CE" w:rsidRPr="00E77CFE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k-SK"/>
              </w:rPr>
            </w:pPr>
            <w:r w:rsidRPr="00E7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k-SK"/>
              </w:rPr>
              <w:t>3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EE08CE" w:rsidRPr="005159D8" w:rsidRDefault="00EE08CE" w:rsidP="00515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</w:pPr>
            <w:r w:rsidRPr="00FB2869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>To continue to invest in and support the information collection systems already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 xml:space="preserve"> </w:t>
            </w:r>
            <w:r w:rsidRPr="00FB2869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>developed by ICPDR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EE08CE" w:rsidRPr="00993862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SK/HU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E08CE" w:rsidRPr="00993862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ICPDR</w:t>
            </w:r>
            <w:r w:rsidR="004104E3"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 xml:space="preserve"> Secretariat</w:t>
            </w:r>
          </w:p>
        </w:tc>
        <w:tc>
          <w:tcPr>
            <w:tcW w:w="1906" w:type="dxa"/>
            <w:shd w:val="clear" w:color="auto" w:fill="CCCCCC"/>
          </w:tcPr>
          <w:p w:rsidR="00EE08CE" w:rsidRPr="00993862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</w:p>
          <w:p w:rsidR="004104E3" w:rsidRPr="00993862" w:rsidRDefault="004104E3" w:rsidP="0041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 xml:space="preserve">All Danube region </w:t>
            </w:r>
          </w:p>
          <w:p w:rsidR="004104E3" w:rsidRPr="00993862" w:rsidRDefault="004104E3" w:rsidP="0041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countries</w:t>
            </w:r>
          </w:p>
        </w:tc>
      </w:tr>
      <w:tr w:rsidR="001E0D0A" w:rsidRPr="00E77CFE" w:rsidTr="00180EEA">
        <w:trPr>
          <w:trHeight w:val="765"/>
          <w:jc w:val="center"/>
        </w:trPr>
        <w:tc>
          <w:tcPr>
            <w:tcW w:w="409" w:type="dxa"/>
            <w:shd w:val="clear" w:color="auto" w:fill="auto"/>
            <w:noWrap/>
            <w:vAlign w:val="center"/>
          </w:tcPr>
          <w:p w:rsidR="00EE08CE" w:rsidRPr="00E77CFE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k-SK"/>
              </w:rPr>
            </w:pPr>
            <w:r w:rsidRPr="00E7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k-SK"/>
              </w:rPr>
              <w:t>4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EE08CE" w:rsidRPr="005159D8" w:rsidRDefault="00EE08CE" w:rsidP="00515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</w:pPr>
            <w:r w:rsidRPr="00FB2869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>To continue boosting major investments in building and upgrading urban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 xml:space="preserve"> </w:t>
            </w:r>
            <w:r w:rsidRPr="00FB2869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>wastewater treatment facilities across the Danube Basin, including measures to build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 xml:space="preserve"> </w:t>
            </w:r>
            <w:r w:rsidRPr="00FB2869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>capacity at the regional and local level for the design of such infrastructure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EE08CE" w:rsidRPr="00993862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HU/SK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E08CE" w:rsidRPr="00993862" w:rsidRDefault="009135C8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ICPDR</w:t>
            </w:r>
            <w:r w:rsidR="004104E3"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 xml:space="preserve"> Secretariat</w:t>
            </w:r>
          </w:p>
        </w:tc>
        <w:tc>
          <w:tcPr>
            <w:tcW w:w="1906" w:type="dxa"/>
            <w:shd w:val="clear" w:color="auto" w:fill="CCCCCC"/>
          </w:tcPr>
          <w:p w:rsidR="00EE08CE" w:rsidRPr="00993862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</w:p>
          <w:p w:rsidR="004104E3" w:rsidRPr="00993862" w:rsidRDefault="004104E3" w:rsidP="0041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 xml:space="preserve">All Danube region </w:t>
            </w:r>
          </w:p>
          <w:p w:rsidR="004104E3" w:rsidRPr="00993862" w:rsidRDefault="004104E3" w:rsidP="0041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countries</w:t>
            </w:r>
          </w:p>
          <w:p w:rsidR="0025663B" w:rsidRPr="00993862" w:rsidRDefault="0025663B" w:rsidP="0041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Associations of water suppliers</w:t>
            </w:r>
          </w:p>
        </w:tc>
      </w:tr>
      <w:tr w:rsidR="001E0D0A" w:rsidRPr="00E77CFE" w:rsidTr="00180EEA">
        <w:trPr>
          <w:trHeight w:val="675"/>
          <w:jc w:val="center"/>
        </w:trPr>
        <w:tc>
          <w:tcPr>
            <w:tcW w:w="409" w:type="dxa"/>
            <w:shd w:val="clear" w:color="auto" w:fill="auto"/>
            <w:noWrap/>
            <w:vAlign w:val="center"/>
          </w:tcPr>
          <w:p w:rsidR="00EE08CE" w:rsidRPr="00E77CFE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k-SK"/>
              </w:rPr>
            </w:pPr>
            <w:r w:rsidRPr="00E7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k-SK"/>
              </w:rPr>
              <w:t>5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EE08CE" w:rsidRPr="005159D8" w:rsidRDefault="00EE08CE" w:rsidP="00515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</w:pPr>
            <w:r w:rsidRPr="00FB2869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>To establish buffer strips along the rivers to retain nutrients and to promote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 xml:space="preserve"> </w:t>
            </w:r>
            <w:r w:rsidRPr="00FB2869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>alternative collection and treatment of waste in small rural settlements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EE08CE" w:rsidRPr="00993862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HU/SK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E08CE" w:rsidRPr="00993862" w:rsidRDefault="00AA6545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HU</w:t>
            </w:r>
          </w:p>
        </w:tc>
        <w:tc>
          <w:tcPr>
            <w:tcW w:w="1906" w:type="dxa"/>
            <w:shd w:val="clear" w:color="auto" w:fill="CCCCCC"/>
          </w:tcPr>
          <w:p w:rsidR="00955919" w:rsidRPr="00993862" w:rsidRDefault="00955919" w:rsidP="0095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 xml:space="preserve">All Danube region </w:t>
            </w:r>
          </w:p>
          <w:p w:rsidR="00EE08CE" w:rsidRPr="00993862" w:rsidRDefault="00955919" w:rsidP="0095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countries</w:t>
            </w:r>
          </w:p>
          <w:p w:rsidR="00411C39" w:rsidRPr="00993862" w:rsidRDefault="00411C39" w:rsidP="0095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ICPDR Expert Groups</w:t>
            </w:r>
          </w:p>
        </w:tc>
      </w:tr>
      <w:tr w:rsidR="001E0D0A" w:rsidRPr="00E77CFE" w:rsidTr="00180EEA">
        <w:trPr>
          <w:trHeight w:val="825"/>
          <w:jc w:val="center"/>
        </w:trPr>
        <w:tc>
          <w:tcPr>
            <w:tcW w:w="409" w:type="dxa"/>
            <w:shd w:val="clear" w:color="auto" w:fill="auto"/>
            <w:noWrap/>
            <w:vAlign w:val="center"/>
          </w:tcPr>
          <w:p w:rsidR="00EE08CE" w:rsidRPr="00E77CFE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k-SK"/>
              </w:rPr>
            </w:pPr>
            <w:r w:rsidRPr="00E7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k-SK"/>
              </w:rPr>
              <w:t>6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EE08CE" w:rsidRPr="005159D8" w:rsidRDefault="00EE08CE" w:rsidP="00515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</w:pPr>
            <w:r w:rsidRPr="00FB2869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>To foster and develop an active process of dialogue and cooperation between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 xml:space="preserve"> </w:t>
            </w:r>
            <w:r w:rsidRPr="00FB2869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>authorities responsible for agriculture and environment to ensure that measures are taken to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 xml:space="preserve"> </w:t>
            </w:r>
            <w:r w:rsidRPr="00FB2869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>address agricultural pollution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EE08CE" w:rsidRPr="00993862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SK/HU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E08CE" w:rsidRPr="00993862" w:rsidRDefault="00AA6545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SK</w:t>
            </w:r>
          </w:p>
        </w:tc>
        <w:tc>
          <w:tcPr>
            <w:tcW w:w="1906" w:type="dxa"/>
            <w:shd w:val="clear" w:color="auto" w:fill="CCCCCC"/>
          </w:tcPr>
          <w:p w:rsidR="00EE08CE" w:rsidRPr="00993862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</w:p>
          <w:p w:rsidR="00411C39" w:rsidRPr="00993862" w:rsidRDefault="00411C39" w:rsidP="0041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 xml:space="preserve">All Danube region </w:t>
            </w:r>
          </w:p>
          <w:p w:rsidR="00411C39" w:rsidRPr="00993862" w:rsidRDefault="00411C39" w:rsidP="0041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countries</w:t>
            </w:r>
          </w:p>
          <w:p w:rsidR="00411C39" w:rsidRPr="00993862" w:rsidRDefault="00411C39" w:rsidP="0041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NGOs</w:t>
            </w:r>
          </w:p>
        </w:tc>
      </w:tr>
      <w:tr w:rsidR="001E0D0A" w:rsidRPr="00E77CFE" w:rsidTr="00180EEA">
        <w:trPr>
          <w:trHeight w:val="546"/>
          <w:jc w:val="center"/>
        </w:trPr>
        <w:tc>
          <w:tcPr>
            <w:tcW w:w="409" w:type="dxa"/>
            <w:shd w:val="clear" w:color="auto" w:fill="auto"/>
            <w:noWrap/>
            <w:vAlign w:val="center"/>
          </w:tcPr>
          <w:p w:rsidR="00EE08CE" w:rsidRPr="00E77CFE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k-SK"/>
              </w:rPr>
            </w:pPr>
            <w:r w:rsidRPr="00E7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k-SK"/>
              </w:rPr>
              <w:t>7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EE08CE" w:rsidRPr="005159D8" w:rsidRDefault="00EE08CE" w:rsidP="00515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</w:pPr>
            <w:r w:rsidRPr="00FB2869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>To legislate at the appropriate level to limit the presence of phosphates in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 xml:space="preserve"> </w:t>
            </w:r>
            <w:r w:rsidRPr="00FB2869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>detergents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EE08CE" w:rsidRPr="00993862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HU/SK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E08CE" w:rsidRPr="00993862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ICPDR</w:t>
            </w:r>
            <w:r w:rsidR="004104E3"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 xml:space="preserve"> Secretariat</w:t>
            </w:r>
          </w:p>
        </w:tc>
        <w:tc>
          <w:tcPr>
            <w:tcW w:w="1906" w:type="dxa"/>
            <w:shd w:val="clear" w:color="auto" w:fill="CCCCCC"/>
          </w:tcPr>
          <w:p w:rsidR="00411C39" w:rsidRPr="00993862" w:rsidRDefault="00411C39" w:rsidP="0041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 xml:space="preserve">All Danube region </w:t>
            </w:r>
          </w:p>
          <w:p w:rsidR="00EE08CE" w:rsidRPr="00993862" w:rsidRDefault="00411C39" w:rsidP="0041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countries</w:t>
            </w:r>
          </w:p>
          <w:p w:rsidR="0025663B" w:rsidRPr="00993862" w:rsidRDefault="0025663B" w:rsidP="0041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</w:p>
        </w:tc>
      </w:tr>
      <w:tr w:rsidR="001E0D0A" w:rsidRPr="00E77CFE" w:rsidTr="00180EEA">
        <w:trPr>
          <w:trHeight w:val="825"/>
          <w:jc w:val="center"/>
        </w:trPr>
        <w:tc>
          <w:tcPr>
            <w:tcW w:w="409" w:type="dxa"/>
            <w:shd w:val="clear" w:color="auto" w:fill="auto"/>
            <w:noWrap/>
            <w:vAlign w:val="center"/>
          </w:tcPr>
          <w:p w:rsidR="00EE08CE" w:rsidRPr="00E77CFE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k-SK"/>
              </w:rPr>
            </w:pPr>
            <w:r w:rsidRPr="00E7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k-SK"/>
              </w:rPr>
              <w:t>8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EE08CE" w:rsidRPr="005159D8" w:rsidRDefault="00EE08CE" w:rsidP="00515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</w:pPr>
            <w:r w:rsidRPr="00FB2869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>To treat hazardous substances and contaminated sludge with the newest and best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 xml:space="preserve"> </w:t>
            </w:r>
            <w:r w:rsidRPr="00FB2869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>available technology and to develop and promote remediation measures for hazardous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 xml:space="preserve"> </w:t>
            </w:r>
            <w:r w:rsidRPr="00FB2869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>producing or abandoned industrial sites and waste deposits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EE08CE" w:rsidRPr="00993862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HU/SK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E08CE" w:rsidRPr="00993862" w:rsidRDefault="00AA6545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HU</w:t>
            </w:r>
          </w:p>
        </w:tc>
        <w:tc>
          <w:tcPr>
            <w:tcW w:w="1906" w:type="dxa"/>
            <w:shd w:val="clear" w:color="auto" w:fill="CCCCCC"/>
          </w:tcPr>
          <w:p w:rsidR="00EE08CE" w:rsidRPr="00993862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</w:p>
          <w:p w:rsidR="00411C39" w:rsidRPr="00993862" w:rsidRDefault="00411C39" w:rsidP="0041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 xml:space="preserve">All Danube region </w:t>
            </w:r>
          </w:p>
          <w:p w:rsidR="00411C39" w:rsidRPr="00993862" w:rsidRDefault="00411C39" w:rsidP="0041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countries</w:t>
            </w:r>
          </w:p>
        </w:tc>
      </w:tr>
      <w:tr w:rsidR="001E0D0A" w:rsidRPr="00E77CFE" w:rsidTr="00180EEA">
        <w:trPr>
          <w:trHeight w:val="840"/>
          <w:jc w:val="center"/>
        </w:trPr>
        <w:tc>
          <w:tcPr>
            <w:tcW w:w="409" w:type="dxa"/>
            <w:shd w:val="clear" w:color="auto" w:fill="auto"/>
            <w:noWrap/>
            <w:vAlign w:val="center"/>
          </w:tcPr>
          <w:p w:rsidR="00EE08CE" w:rsidRPr="00E77CFE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k-SK"/>
              </w:rPr>
            </w:pPr>
            <w:r w:rsidRPr="00E7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k-SK"/>
              </w:rPr>
              <w:t>9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EE08CE" w:rsidRPr="005159D8" w:rsidRDefault="00EE08CE" w:rsidP="00515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</w:pPr>
            <w:r w:rsidRPr="00FB2869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>To assure the proper control and progressive substitution of substances that are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 xml:space="preserve"> </w:t>
            </w:r>
            <w:r w:rsidRPr="00FB2869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>considered problematic for Danube Region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EE08CE" w:rsidRPr="00993862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SK/HU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E08CE" w:rsidRPr="00993862" w:rsidRDefault="002916FD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ICPDR Secretariat</w:t>
            </w:r>
          </w:p>
        </w:tc>
        <w:tc>
          <w:tcPr>
            <w:tcW w:w="1906" w:type="dxa"/>
            <w:shd w:val="clear" w:color="auto" w:fill="CCCCCC"/>
          </w:tcPr>
          <w:p w:rsidR="00EE08CE" w:rsidRPr="00993862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</w:p>
          <w:p w:rsidR="00411C39" w:rsidRPr="00993862" w:rsidRDefault="00411C39" w:rsidP="0041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 xml:space="preserve">All Danube region </w:t>
            </w:r>
          </w:p>
          <w:p w:rsidR="00411C39" w:rsidRPr="00993862" w:rsidRDefault="00411C39" w:rsidP="0041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countries</w:t>
            </w:r>
          </w:p>
        </w:tc>
      </w:tr>
      <w:tr w:rsidR="001E0D0A" w:rsidRPr="00E77CFE" w:rsidTr="00180EEA">
        <w:trPr>
          <w:trHeight w:val="525"/>
          <w:jc w:val="center"/>
        </w:trPr>
        <w:tc>
          <w:tcPr>
            <w:tcW w:w="409" w:type="dxa"/>
            <w:shd w:val="clear" w:color="auto" w:fill="auto"/>
            <w:noWrap/>
            <w:vAlign w:val="center"/>
          </w:tcPr>
          <w:p w:rsidR="00EE08CE" w:rsidRPr="00E77CFE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k-SK"/>
              </w:rPr>
            </w:pPr>
            <w:r w:rsidRPr="00E7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k-SK"/>
              </w:rPr>
              <w:t>10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EE08CE" w:rsidRPr="005159D8" w:rsidRDefault="00EE08CE" w:rsidP="00515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</w:pPr>
            <w:r w:rsidRPr="00FB2869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>To reduce existing water continuity interruption for fish migration in the Danube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 xml:space="preserve"> </w:t>
            </w:r>
            <w:r w:rsidRPr="00FB2869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>river basin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EE08CE" w:rsidRPr="00993862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SK/HU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E08CE" w:rsidRPr="00993862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ICPDR</w:t>
            </w:r>
            <w:r w:rsidR="004104E3"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 xml:space="preserve"> Secretariat</w:t>
            </w:r>
          </w:p>
        </w:tc>
        <w:tc>
          <w:tcPr>
            <w:tcW w:w="1906" w:type="dxa"/>
            <w:shd w:val="clear" w:color="auto" w:fill="CCCCCC"/>
          </w:tcPr>
          <w:p w:rsidR="004104E3" w:rsidRPr="00993862" w:rsidRDefault="004104E3" w:rsidP="0041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 xml:space="preserve">All Danube region </w:t>
            </w:r>
          </w:p>
          <w:p w:rsidR="00EE08CE" w:rsidRPr="00993862" w:rsidRDefault="004104E3" w:rsidP="0041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countries</w:t>
            </w:r>
          </w:p>
          <w:p w:rsidR="0025663B" w:rsidRPr="00993862" w:rsidRDefault="0025663B" w:rsidP="0041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</w:p>
        </w:tc>
      </w:tr>
      <w:tr w:rsidR="001E0D0A" w:rsidRPr="00E77CFE" w:rsidTr="00180EEA">
        <w:trPr>
          <w:trHeight w:val="405"/>
          <w:jc w:val="center"/>
        </w:trPr>
        <w:tc>
          <w:tcPr>
            <w:tcW w:w="409" w:type="dxa"/>
            <w:shd w:val="clear" w:color="auto" w:fill="auto"/>
            <w:noWrap/>
            <w:vAlign w:val="center"/>
          </w:tcPr>
          <w:p w:rsidR="00EE08CE" w:rsidRPr="00E77CFE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k-SK"/>
              </w:rPr>
            </w:pPr>
            <w:r w:rsidRPr="00E7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k-SK"/>
              </w:rPr>
              <w:t>11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EE08CE" w:rsidRPr="00FB2869" w:rsidRDefault="00EE08CE" w:rsidP="005159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sk-SK"/>
              </w:rPr>
            </w:pPr>
            <w:r w:rsidRPr="00FB2869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>To promote measures to limit water abstraction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EE08CE" w:rsidRPr="00993862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HU/SK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E08CE" w:rsidRPr="00993862" w:rsidRDefault="00AA6545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HU</w:t>
            </w:r>
          </w:p>
        </w:tc>
        <w:tc>
          <w:tcPr>
            <w:tcW w:w="1906" w:type="dxa"/>
            <w:shd w:val="clear" w:color="auto" w:fill="CCCCCC"/>
          </w:tcPr>
          <w:p w:rsidR="004104E3" w:rsidRPr="00993862" w:rsidRDefault="004104E3" w:rsidP="0041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 xml:space="preserve">All Danube region </w:t>
            </w:r>
          </w:p>
          <w:p w:rsidR="00EE08CE" w:rsidRPr="00993862" w:rsidRDefault="004104E3" w:rsidP="0041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countries</w:t>
            </w:r>
          </w:p>
          <w:p w:rsidR="0025663B" w:rsidRPr="00993862" w:rsidRDefault="0025663B" w:rsidP="0041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Universities</w:t>
            </w:r>
          </w:p>
          <w:p w:rsidR="0025663B" w:rsidRPr="00993862" w:rsidRDefault="0025663B" w:rsidP="0041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shd w:val="clear" w:color="auto" w:fill="B8CCE4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Climate Centres</w:t>
            </w:r>
          </w:p>
        </w:tc>
      </w:tr>
      <w:tr w:rsidR="001E0D0A" w:rsidRPr="00E77CFE" w:rsidTr="00180EEA">
        <w:trPr>
          <w:trHeight w:val="1080"/>
          <w:jc w:val="center"/>
        </w:trPr>
        <w:tc>
          <w:tcPr>
            <w:tcW w:w="409" w:type="dxa"/>
            <w:shd w:val="clear" w:color="auto" w:fill="auto"/>
            <w:noWrap/>
            <w:vAlign w:val="center"/>
          </w:tcPr>
          <w:p w:rsidR="00EE08CE" w:rsidRPr="00E77CFE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k-SK"/>
              </w:rPr>
            </w:pPr>
            <w:r w:rsidRPr="00E7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k-SK"/>
              </w:rPr>
              <w:t>12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EE08CE" w:rsidRPr="004104E3" w:rsidRDefault="00EE08CE" w:rsidP="00410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</w:pPr>
            <w:r w:rsidRPr="00FB2869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>To strengthen general awareness and facilitate exchange of good practice in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 xml:space="preserve"> </w:t>
            </w:r>
            <w:r w:rsidRPr="00FB2869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>integrated water management issues in the Danube Basin among decision-makers at all</w:t>
            </w:r>
            <w:r w:rsidR="004104E3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 xml:space="preserve"> </w:t>
            </w:r>
            <w:r w:rsidRPr="00FB2869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>levels and among the population of the Region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EE08CE" w:rsidRPr="00993862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HU/SK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E08CE" w:rsidRPr="00993862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ICPDR</w:t>
            </w:r>
            <w:r w:rsidR="004104E3"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 xml:space="preserve"> Secretariat</w:t>
            </w:r>
          </w:p>
        </w:tc>
        <w:tc>
          <w:tcPr>
            <w:tcW w:w="1906" w:type="dxa"/>
            <w:shd w:val="clear" w:color="auto" w:fill="CCCCCC"/>
          </w:tcPr>
          <w:p w:rsidR="00EE08CE" w:rsidRPr="00993862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</w:p>
          <w:p w:rsidR="004104E3" w:rsidRPr="00993862" w:rsidRDefault="004104E3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</w:p>
          <w:p w:rsidR="004104E3" w:rsidRPr="00993862" w:rsidRDefault="004104E3" w:rsidP="0041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 xml:space="preserve">All Danube region </w:t>
            </w:r>
          </w:p>
          <w:p w:rsidR="004104E3" w:rsidRPr="00993862" w:rsidRDefault="004104E3" w:rsidP="0041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countries</w:t>
            </w:r>
          </w:p>
        </w:tc>
      </w:tr>
      <w:tr w:rsidR="001E0D0A" w:rsidRPr="00E77CFE" w:rsidTr="00180EEA">
        <w:trPr>
          <w:trHeight w:val="967"/>
          <w:jc w:val="center"/>
        </w:trPr>
        <w:tc>
          <w:tcPr>
            <w:tcW w:w="409" w:type="dxa"/>
            <w:shd w:val="clear" w:color="auto" w:fill="auto"/>
            <w:noWrap/>
            <w:vAlign w:val="center"/>
          </w:tcPr>
          <w:p w:rsidR="00EE08CE" w:rsidRPr="00E77CFE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k-SK"/>
              </w:rPr>
            </w:pPr>
            <w:r w:rsidRPr="00E7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k-SK"/>
              </w:rPr>
              <w:t>13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EE08CE" w:rsidRPr="005159D8" w:rsidRDefault="00EE08CE" w:rsidP="00515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</w:pPr>
            <w:r w:rsidRPr="00FB2869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>To promote measures aimed at reducing knowledge deficits, developing and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 xml:space="preserve"> </w:t>
            </w:r>
            <w:r w:rsidRPr="00FB2869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>transferring tools, methods and guidelines concerning the safeguarding of drinking water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 xml:space="preserve"> </w:t>
            </w:r>
            <w:r w:rsidRPr="00FB2869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>supply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EE08CE" w:rsidRPr="00993862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SK/HU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E08CE" w:rsidRPr="00993862" w:rsidRDefault="00AA6545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SK</w:t>
            </w:r>
          </w:p>
        </w:tc>
        <w:tc>
          <w:tcPr>
            <w:tcW w:w="1906" w:type="dxa"/>
            <w:shd w:val="clear" w:color="auto" w:fill="CCCCCC"/>
          </w:tcPr>
          <w:p w:rsidR="00EE08CE" w:rsidRPr="00993862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shd w:val="clear" w:color="auto" w:fill="B8CCE4"/>
                <w:lang w:eastAsia="sk-SK"/>
              </w:rPr>
            </w:pPr>
          </w:p>
          <w:p w:rsidR="004104E3" w:rsidRPr="00993862" w:rsidRDefault="004104E3" w:rsidP="0041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 xml:space="preserve">All Danube region </w:t>
            </w:r>
          </w:p>
          <w:p w:rsidR="004104E3" w:rsidRPr="00993862" w:rsidRDefault="004104E3" w:rsidP="0041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countries</w:t>
            </w:r>
            <w:r w:rsidR="0025663B"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,</w:t>
            </w:r>
          </w:p>
          <w:p w:rsidR="0025663B" w:rsidRPr="00993862" w:rsidRDefault="0025663B" w:rsidP="0041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shd w:val="clear" w:color="auto" w:fill="B8CCE4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Associations of water suppliers</w:t>
            </w:r>
          </w:p>
        </w:tc>
      </w:tr>
      <w:tr w:rsidR="001E0D0A" w:rsidRPr="00E77CFE" w:rsidTr="00180EEA">
        <w:trPr>
          <w:trHeight w:val="1035"/>
          <w:jc w:val="center"/>
        </w:trPr>
        <w:tc>
          <w:tcPr>
            <w:tcW w:w="409" w:type="dxa"/>
            <w:shd w:val="clear" w:color="auto" w:fill="auto"/>
            <w:noWrap/>
            <w:vAlign w:val="center"/>
          </w:tcPr>
          <w:p w:rsidR="00EE08CE" w:rsidRPr="00E77CFE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k-SK"/>
              </w:rPr>
            </w:pPr>
            <w:r w:rsidRPr="00E7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k-SK"/>
              </w:rPr>
              <w:t>14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EE08CE" w:rsidRPr="005159D8" w:rsidRDefault="00EE08CE" w:rsidP="00515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</w:pPr>
            <w:r w:rsidRPr="00FB2869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>To further strengthen Integrated Coastal Zone Management (ICZM) and Maritime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 xml:space="preserve"> </w:t>
            </w:r>
            <w:r w:rsidRPr="00FB2869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sk-SK"/>
              </w:rPr>
              <w:t>Spatial Planning (MSP) practices on the Western shores of the Black Sea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EE08CE" w:rsidRPr="00993862" w:rsidRDefault="00EE08CE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SK/HU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E08CE" w:rsidRPr="00993862" w:rsidRDefault="002916FD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RO</w:t>
            </w:r>
          </w:p>
        </w:tc>
        <w:tc>
          <w:tcPr>
            <w:tcW w:w="1906" w:type="dxa"/>
            <w:shd w:val="clear" w:color="auto" w:fill="CCCCCC"/>
          </w:tcPr>
          <w:p w:rsidR="00EE08CE" w:rsidRPr="00993862" w:rsidRDefault="002916FD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 xml:space="preserve">Ukraine, </w:t>
            </w:r>
          </w:p>
          <w:p w:rsidR="002916FD" w:rsidRPr="00993862" w:rsidRDefault="002916FD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Moldova</w:t>
            </w:r>
          </w:p>
          <w:p w:rsidR="00411C39" w:rsidRPr="00993862" w:rsidRDefault="00411C39" w:rsidP="0051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</w:pPr>
            <w:r w:rsidRPr="009938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sk-SK"/>
              </w:rPr>
              <w:t>WWF</w:t>
            </w:r>
          </w:p>
        </w:tc>
      </w:tr>
    </w:tbl>
    <w:p w:rsidR="00E14998" w:rsidRDefault="00E14998">
      <w:pPr>
        <w:rPr>
          <w:b/>
          <w:sz w:val="18"/>
          <w:szCs w:val="18"/>
        </w:rPr>
      </w:pPr>
    </w:p>
    <w:p w:rsidR="007D34A4" w:rsidRPr="00CA2ACC" w:rsidRDefault="007D34A4">
      <w:pPr>
        <w:rPr>
          <w:b/>
          <w:sz w:val="18"/>
          <w:szCs w:val="18"/>
        </w:rPr>
      </w:pPr>
    </w:p>
    <w:sectPr w:rsidR="007D34A4" w:rsidRPr="00CA2ACC" w:rsidSect="00E14998">
      <w:pgSz w:w="11906" w:h="16838"/>
      <w:pgMar w:top="53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CA22B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9A6D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FA081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0C6F4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C28E5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F326E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8802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9840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86F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66CF1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2C1BF9"/>
    <w:rsid w:val="000E31E8"/>
    <w:rsid w:val="00180EEA"/>
    <w:rsid w:val="001D0636"/>
    <w:rsid w:val="001E0D0A"/>
    <w:rsid w:val="0025663B"/>
    <w:rsid w:val="002916FD"/>
    <w:rsid w:val="002C1BF9"/>
    <w:rsid w:val="00304A6D"/>
    <w:rsid w:val="004104E3"/>
    <w:rsid w:val="00411C39"/>
    <w:rsid w:val="004826AE"/>
    <w:rsid w:val="004D7497"/>
    <w:rsid w:val="005159D8"/>
    <w:rsid w:val="00587AB2"/>
    <w:rsid w:val="006C42BF"/>
    <w:rsid w:val="007D34A4"/>
    <w:rsid w:val="009135C8"/>
    <w:rsid w:val="00925530"/>
    <w:rsid w:val="00955919"/>
    <w:rsid w:val="00993862"/>
    <w:rsid w:val="009F4150"/>
    <w:rsid w:val="00A12FC1"/>
    <w:rsid w:val="00AA6545"/>
    <w:rsid w:val="00C0500D"/>
    <w:rsid w:val="00CA2ACC"/>
    <w:rsid w:val="00D96AC2"/>
    <w:rsid w:val="00E14998"/>
    <w:rsid w:val="00EE08CE"/>
    <w:rsid w:val="00F34FE6"/>
    <w:rsid w:val="00F467B2"/>
    <w:rsid w:val="00FB2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BF9"/>
    <w:pPr>
      <w:spacing w:after="200" w:line="276" w:lineRule="auto"/>
    </w:pPr>
    <w:rPr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4C8FE-0958-4135-A131-C025C227A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MZP SR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magulova</dc:creator>
  <cp:lastModifiedBy>User</cp:lastModifiedBy>
  <cp:revision>2</cp:revision>
  <cp:lastPrinted>2011-06-14T07:25:00Z</cp:lastPrinted>
  <dcterms:created xsi:type="dcterms:W3CDTF">2019-09-11T18:01:00Z</dcterms:created>
  <dcterms:modified xsi:type="dcterms:W3CDTF">2019-09-11T18:01:00Z</dcterms:modified>
</cp:coreProperties>
</file>